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9F44" w14:textId="76A9F7CF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BB3509" wp14:editId="692C7D5D">
            <wp:simplePos x="0" y="0"/>
            <wp:positionH relativeFrom="page">
              <wp:posOffset>-7034</wp:posOffset>
            </wp:positionH>
            <wp:positionV relativeFrom="paragraph">
              <wp:posOffset>-914400</wp:posOffset>
            </wp:positionV>
            <wp:extent cx="7579710" cy="2527588"/>
            <wp:effectExtent l="0" t="0" r="2540" b="6350"/>
            <wp:wrapNone/>
            <wp:docPr id="53317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7492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710" cy="252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F31CA" w14:textId="781C6C2A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B84BA30" w14:textId="7A8E2133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1F7A1A0E" w14:textId="5C860D92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4C98140" w14:textId="4D0010B3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CDAF53D" w14:textId="7E2473B9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255D51B4" w14:textId="4AF5876F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09A3A39F" w14:textId="0758BC86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A189CB" wp14:editId="04845B86">
                <wp:simplePos x="0" y="0"/>
                <wp:positionH relativeFrom="page">
                  <wp:align>left</wp:align>
                </wp:positionH>
                <wp:positionV relativeFrom="paragraph">
                  <wp:posOffset>308984</wp:posOffset>
                </wp:positionV>
                <wp:extent cx="7541111" cy="548640"/>
                <wp:effectExtent l="0" t="0" r="3175" b="381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111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4035" h="466725">
                              <a:moveTo>
                                <a:pt x="10693908" y="0"/>
                              </a:moveTo>
                              <a:lnTo>
                                <a:pt x="0" y="0"/>
                              </a:lnTo>
                              <a:lnTo>
                                <a:pt x="0" y="466648"/>
                              </a:lnTo>
                              <a:lnTo>
                                <a:pt x="10693908" y="466648"/>
                              </a:lnTo>
                              <a:lnTo>
                                <a:pt x="1069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71C0" id="Graphic 2" o:spid="_x0000_s1026" style="position:absolute;margin-left:0;margin-top:24.35pt;width:593.8pt;height:43.2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1069403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" path="m10693908,l,,,466648r10693908,l10693908,xe" fillcolor="#00b395" stroked="f">
                <v:path arrowok="t"/>
                <w10:wrap anchorx="page"/>
              </v:shape>
            </w:pict>
          </mc:Fallback>
        </mc:AlternateContent>
      </w:r>
    </w:p>
    <w:p w14:paraId="61455B2F" w14:textId="724505EB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B861B" wp14:editId="56B0FC62">
                <wp:simplePos x="0" y="0"/>
                <wp:positionH relativeFrom="margin">
                  <wp:align>center</wp:align>
                </wp:positionH>
                <wp:positionV relativeFrom="paragraph">
                  <wp:posOffset>199875</wp:posOffset>
                </wp:positionV>
                <wp:extent cx="6492053" cy="44069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053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935C3" w14:textId="4849EB1B" w:rsidR="004C1139" w:rsidRPr="004C1139" w:rsidRDefault="004C1139" w:rsidP="004C113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52"/>
                                <w:szCs w:val="18"/>
                              </w:rPr>
                            </w:pPr>
                            <w:r w:rsidRPr="004C1139">
                              <w:rPr>
                                <w:rFonts w:ascii="Arial" w:hAnsi="Arial" w:cs="Arial"/>
                                <w:bCs/>
                                <w:sz w:val="52"/>
                                <w:szCs w:val="18"/>
                              </w:rPr>
                              <w:t>2025 Agenda</w:t>
                            </w:r>
                          </w:p>
                          <w:p w14:paraId="61C06343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2CACF0FC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01A5BFC1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4EB9F82C" w14:textId="77777777" w:rsidR="004C1139" w:rsidRPr="004C1139" w:rsidRDefault="004C1139" w:rsidP="004C1139">
                            <w:pPr>
                              <w:spacing w:before="673"/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4F729E81" w14:textId="77777777" w:rsidR="004C1139" w:rsidRPr="004C1139" w:rsidRDefault="004C1139" w:rsidP="004C1139">
                            <w:pPr>
                              <w:ind w:right="14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18"/>
                              </w:rPr>
                            </w:pPr>
                            <w:r w:rsidRPr="004C1139"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18"/>
                              </w:rPr>
                              <w:t>2024</w:t>
                            </w:r>
                            <w:r w:rsidRPr="004C1139">
                              <w:rPr>
                                <w:rFonts w:ascii="Arial" w:hAnsi="Arial" w:cs="Arial"/>
                                <w:color w:val="FFFFFF"/>
                                <w:spacing w:val="-45"/>
                                <w:sz w:val="52"/>
                                <w:szCs w:val="18"/>
                              </w:rPr>
                              <w:t xml:space="preserve"> </w:t>
                            </w:r>
                            <w:r w:rsidRPr="004C1139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52"/>
                                <w:szCs w:val="18"/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B861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5.75pt;width:511.2pt;height:34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" filled="f" stroked="f">
                <v:textbox inset="0,0,0,0">
                  <w:txbxContent>
                    <w:p w14:paraId="64E935C3" w14:textId="4849EB1B" w:rsidR="004C1139" w:rsidRPr="004C1139" w:rsidRDefault="004C1139" w:rsidP="004C1139">
                      <w:pPr>
                        <w:jc w:val="center"/>
                        <w:rPr>
                          <w:rFonts w:ascii="Arial" w:hAnsi="Arial" w:cs="Arial"/>
                          <w:bCs/>
                          <w:sz w:val="52"/>
                          <w:szCs w:val="18"/>
                        </w:rPr>
                      </w:pPr>
                      <w:r w:rsidRPr="004C1139">
                        <w:rPr>
                          <w:rFonts w:ascii="Arial" w:hAnsi="Arial" w:cs="Arial"/>
                          <w:bCs/>
                          <w:sz w:val="52"/>
                          <w:szCs w:val="18"/>
                        </w:rPr>
                        <w:t>2025 Agenda</w:t>
                      </w:r>
                    </w:p>
                    <w:p w14:paraId="61C06343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2CACF0FC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01A5BFC1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4EB9F82C" w14:textId="77777777" w:rsidR="004C1139" w:rsidRPr="004C1139" w:rsidRDefault="004C1139" w:rsidP="004C1139">
                      <w:pPr>
                        <w:spacing w:before="673"/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4F729E81" w14:textId="77777777" w:rsidR="004C1139" w:rsidRPr="004C1139" w:rsidRDefault="004C1139" w:rsidP="004C1139">
                      <w:pPr>
                        <w:ind w:right="14"/>
                        <w:jc w:val="center"/>
                        <w:rPr>
                          <w:rFonts w:ascii="Arial" w:hAnsi="Arial" w:cs="Arial"/>
                          <w:sz w:val="52"/>
                          <w:szCs w:val="18"/>
                        </w:rPr>
                      </w:pPr>
                      <w:r w:rsidRPr="004C1139">
                        <w:rPr>
                          <w:rFonts w:ascii="Arial" w:hAnsi="Arial" w:cs="Arial"/>
                          <w:color w:val="FFFFFF"/>
                          <w:sz w:val="52"/>
                          <w:szCs w:val="18"/>
                        </w:rPr>
                        <w:t>2024</w:t>
                      </w:r>
                      <w:r w:rsidRPr="004C1139">
                        <w:rPr>
                          <w:rFonts w:ascii="Arial" w:hAnsi="Arial" w:cs="Arial"/>
                          <w:color w:val="FFFFFF"/>
                          <w:spacing w:val="-45"/>
                          <w:sz w:val="52"/>
                          <w:szCs w:val="18"/>
                        </w:rPr>
                        <w:t xml:space="preserve"> </w:t>
                      </w:r>
                      <w:r w:rsidRPr="004C1139">
                        <w:rPr>
                          <w:rFonts w:ascii="Arial" w:hAnsi="Arial" w:cs="Arial"/>
                          <w:color w:val="FFFFFF"/>
                          <w:spacing w:val="-2"/>
                          <w:sz w:val="52"/>
                          <w:szCs w:val="18"/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D2BCE" w14:textId="07F4CA7B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779F8E9" w14:textId="77777777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4FEAB2FD" w14:textId="77777777" w:rsidR="004C1139" w:rsidRDefault="004C1139" w:rsidP="004C1139">
      <w:pPr>
        <w:rPr>
          <w:b/>
          <w:bCs/>
          <w:i/>
          <w:iCs/>
          <w:color w:val="00704A"/>
          <w:sz w:val="32"/>
          <w:szCs w:val="32"/>
        </w:rPr>
      </w:pPr>
    </w:p>
    <w:p w14:paraId="195418AD" w14:textId="07FBFD2E" w:rsidR="004C1139" w:rsidRPr="004C1139" w:rsidRDefault="00C6284F" w:rsidP="004C1139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Monday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2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 w:rsidR="002A4423">
        <w:rPr>
          <w:rFonts w:ascii="Arial" w:hAnsi="Arial" w:cs="Arial"/>
          <w:i/>
          <w:iCs/>
          <w:sz w:val="32"/>
          <w:szCs w:val="32"/>
        </w:rPr>
        <w:t>June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2025 </w:t>
      </w:r>
    </w:p>
    <w:p w14:paraId="7F27FEA9" w14:textId="77777777" w:rsidR="004C1139" w:rsidRDefault="004C1139" w:rsidP="004C1139">
      <w:pPr>
        <w:rPr>
          <w:rFonts w:ascii="Arial" w:hAnsi="Arial" w:cs="Arial"/>
          <w:color w:val="00704A"/>
          <w:sz w:val="24"/>
          <w:szCs w:val="24"/>
        </w:rPr>
      </w:pPr>
    </w:p>
    <w:p w14:paraId="448E9852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6206CB8A" w14:textId="2B75300B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08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  <w:r>
        <w:rPr>
          <w:rFonts w:ascii="Arial" w:hAnsi="Arial" w:cs="Arial"/>
          <w:color w:val="00704A"/>
          <w:sz w:val="24"/>
          <w:szCs w:val="24"/>
        </w:rPr>
        <w:t xml:space="preserve"> – 09:0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</w:p>
    <w:p w14:paraId="2D765BC8" w14:textId="77F08E34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Registration and networking</w:t>
      </w:r>
    </w:p>
    <w:p w14:paraId="495E6E26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3570810" w14:textId="49C4033F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:0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  <w:r>
        <w:rPr>
          <w:rFonts w:ascii="Arial" w:hAnsi="Arial" w:cs="Arial"/>
          <w:color w:val="00704A"/>
          <w:sz w:val="24"/>
          <w:szCs w:val="24"/>
        </w:rPr>
        <w:t xml:space="preserve"> – 09:</w:t>
      </w:r>
      <w:r w:rsidR="00FE17BF">
        <w:rPr>
          <w:rFonts w:ascii="Arial" w:hAnsi="Arial" w:cs="Arial"/>
          <w:color w:val="00704A"/>
          <w:sz w:val="24"/>
          <w:szCs w:val="24"/>
        </w:rPr>
        <w:t>4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46B492E1" w14:textId="4A94CB5C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Keynote presentation</w:t>
      </w:r>
    </w:p>
    <w:p w14:paraId="18738ADF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0BA0F11C" w14:textId="17962F7A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4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10:</w:t>
      </w:r>
      <w:r w:rsidR="00FE17BF">
        <w:rPr>
          <w:rFonts w:ascii="Arial" w:hAnsi="Arial" w:cs="Arial"/>
          <w:color w:val="00704A"/>
          <w:sz w:val="24"/>
          <w:szCs w:val="24"/>
        </w:rPr>
        <w:t>3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23A34B47" w14:textId="0F6D82A5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Keynote panel: Infrastructure investing in a volatile world: balancing opportunities and geopolitical risks</w:t>
      </w:r>
    </w:p>
    <w:p w14:paraId="4A8BBA75" w14:textId="77777777" w:rsidR="002A4423" w:rsidRP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In an increasingly unstable geopolitical landscape, how will infrastructure as an asset class fare compared to other private markets in 2025?</w:t>
      </w:r>
    </w:p>
    <w:p w14:paraId="6D7D0845" w14:textId="77777777" w:rsidR="002A4423" w:rsidRP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Will ongoing geopolitical risks and volatility have tangible impacts on the renewables sector and its appeal as a subsector?</w:t>
      </w:r>
    </w:p>
    <w:p w14:paraId="70B3433D" w14:textId="5B11D5DF" w:rsid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Amid increasing concerns about over-paying for assets, how do GPs ensure they source the best deals?</w:t>
      </w:r>
    </w:p>
    <w:p w14:paraId="3FB777E1" w14:textId="77777777" w:rsidR="00FE17BF" w:rsidRDefault="00FE17BF" w:rsidP="00FE17BF">
      <w:pPr>
        <w:rPr>
          <w:rFonts w:ascii="Arial" w:hAnsi="Arial" w:cs="Arial"/>
          <w:sz w:val="16"/>
          <w:szCs w:val="16"/>
        </w:rPr>
      </w:pPr>
    </w:p>
    <w:p w14:paraId="23C9DA91" w14:textId="1E66E45D" w:rsidR="002A4423" w:rsidRDefault="00FE17BF" w:rsidP="002A4423">
      <w:pPr>
        <w:rPr>
          <w:rFonts w:ascii="Arial" w:hAnsi="Arial" w:cs="Arial"/>
          <w:sz w:val="16"/>
          <w:szCs w:val="16"/>
        </w:rPr>
      </w:pPr>
      <w:r w:rsidRPr="00FE17BF">
        <w:rPr>
          <w:rFonts w:ascii="Arial" w:hAnsi="Arial" w:cs="Arial"/>
          <w:b/>
          <w:bCs/>
          <w:sz w:val="16"/>
          <w:szCs w:val="16"/>
        </w:rPr>
        <w:t>Moderated by:</w:t>
      </w:r>
      <w:r w:rsidRPr="00FE17BF">
        <w:rPr>
          <w:rFonts w:ascii="Arial" w:hAnsi="Arial" w:cs="Arial"/>
          <w:sz w:val="16"/>
          <w:szCs w:val="16"/>
        </w:rPr>
        <w:t xml:space="preserve"> Don Hung Jang, Senior Advisor, </w:t>
      </w:r>
      <w:r w:rsidRPr="00FE17BF">
        <w:rPr>
          <w:rFonts w:ascii="Arial" w:hAnsi="Arial" w:cs="Arial"/>
          <w:b/>
          <w:bCs/>
          <w:sz w:val="16"/>
          <w:szCs w:val="16"/>
        </w:rPr>
        <w:t>Yulchon</w:t>
      </w:r>
    </w:p>
    <w:p w14:paraId="5D7CC42F" w14:textId="77777777" w:rsidR="00FE17BF" w:rsidRPr="00FE17BF" w:rsidRDefault="00FE17BF" w:rsidP="002A4423">
      <w:pPr>
        <w:rPr>
          <w:rFonts w:ascii="Arial" w:hAnsi="Arial" w:cs="Arial"/>
          <w:sz w:val="16"/>
          <w:szCs w:val="16"/>
        </w:rPr>
      </w:pPr>
    </w:p>
    <w:p w14:paraId="70A15944" w14:textId="764CEC26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10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3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11D2B97B" w14:textId="6A1A2FF4" w:rsidR="002A4423" w:rsidRPr="004E478F" w:rsidRDefault="002A4423" w:rsidP="002A4423">
      <w:pPr>
        <w:rPr>
          <w:rFonts w:ascii="Arial" w:hAnsi="Arial" w:cs="Arial"/>
          <w:b/>
          <w:bCs/>
          <w:color w:val="007749"/>
          <w:sz w:val="24"/>
          <w:szCs w:val="24"/>
        </w:rPr>
      </w:pPr>
      <w:r w:rsidRPr="004E478F">
        <w:rPr>
          <w:rFonts w:ascii="Arial" w:hAnsi="Arial" w:cs="Arial"/>
          <w:b/>
          <w:bCs/>
          <w:color w:val="007749"/>
          <w:sz w:val="24"/>
          <w:szCs w:val="24"/>
        </w:rPr>
        <w:t>Networking break</w:t>
      </w:r>
    </w:p>
    <w:p w14:paraId="5C225E20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20A8F395" w14:textId="3A17980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0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11: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2D81E58A" w14:textId="32346F92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Panel: Renewables Platforms as an Investment Strategy</w:t>
      </w:r>
    </w:p>
    <w:p w14:paraId="6B4FB8E5" w14:textId="2717E3DB" w:rsidR="002A4423" w:rsidRP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Europe vs US vs APAC – which global jurisdictions are proving the most attractive?</w:t>
      </w:r>
    </w:p>
    <w:p w14:paraId="6C751A41" w14:textId="77777777" w:rsidR="002A4423" w:rsidRP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How can investing in renewables platforms mitigate risk, diversify portfolios, and enhance scalability?</w:t>
      </w:r>
    </w:p>
    <w:p w14:paraId="637D338F" w14:textId="3F53F50D" w:rsid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Distributed energy vs. large-scale renewables: understanding the benefits and limitations of distributed energy systems versus large-scale renewable projects</w:t>
      </w:r>
    </w:p>
    <w:p w14:paraId="0328594E" w14:textId="77777777" w:rsidR="00FE17BF" w:rsidRDefault="00FE17BF" w:rsidP="00FE17BF">
      <w:pPr>
        <w:rPr>
          <w:rFonts w:ascii="Arial" w:hAnsi="Arial" w:cs="Arial"/>
          <w:sz w:val="16"/>
          <w:szCs w:val="16"/>
        </w:rPr>
      </w:pPr>
    </w:p>
    <w:p w14:paraId="59E81F9E" w14:textId="2DD94492" w:rsidR="00FE17BF" w:rsidRPr="00FE17BF" w:rsidRDefault="00FE17BF" w:rsidP="00FE17BF">
      <w:pPr>
        <w:rPr>
          <w:rFonts w:ascii="Arial" w:hAnsi="Arial" w:cs="Arial"/>
          <w:sz w:val="16"/>
          <w:szCs w:val="16"/>
        </w:rPr>
      </w:pPr>
      <w:r w:rsidRPr="00FE17BF">
        <w:rPr>
          <w:rFonts w:ascii="Arial" w:hAnsi="Arial" w:cs="Arial"/>
          <w:b/>
          <w:bCs/>
          <w:sz w:val="16"/>
          <w:szCs w:val="16"/>
        </w:rPr>
        <w:t>Moderated by:</w:t>
      </w:r>
      <w:r w:rsidRPr="00FE17BF">
        <w:rPr>
          <w:rFonts w:ascii="Arial" w:hAnsi="Arial" w:cs="Arial"/>
          <w:sz w:val="16"/>
          <w:szCs w:val="16"/>
        </w:rPr>
        <w:t xml:space="preserve"> Ayaka Fujiwara, Climate Investment Specialist, </w:t>
      </w:r>
      <w:r w:rsidRPr="00FE17BF">
        <w:rPr>
          <w:rFonts w:ascii="Arial" w:hAnsi="Arial" w:cs="Arial"/>
          <w:b/>
          <w:bCs/>
          <w:sz w:val="16"/>
          <w:szCs w:val="16"/>
        </w:rPr>
        <w:t>Green Climate Fund</w:t>
      </w:r>
    </w:p>
    <w:p w14:paraId="552FF035" w14:textId="77777777" w:rsidR="002A4423" w:rsidRPr="00FE17BF" w:rsidRDefault="002A4423" w:rsidP="002A4423">
      <w:pPr>
        <w:rPr>
          <w:rFonts w:ascii="Arial" w:hAnsi="Arial" w:cs="Arial"/>
          <w:color w:val="00704A"/>
          <w:sz w:val="16"/>
          <w:szCs w:val="16"/>
        </w:rPr>
      </w:pPr>
    </w:p>
    <w:p w14:paraId="43ECFE49" w14:textId="38EDAE0F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5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12: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0</w:t>
      </w:r>
    </w:p>
    <w:p w14:paraId="2B1EF360" w14:textId="5E10C1F0" w:rsid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Presentation</w:t>
      </w:r>
    </w:p>
    <w:p w14:paraId="2BA57853" w14:textId="77777777" w:rsidR="00FE17BF" w:rsidRPr="00FE17BF" w:rsidRDefault="00FE17BF" w:rsidP="002A4423">
      <w:pPr>
        <w:rPr>
          <w:rFonts w:ascii="Arial" w:hAnsi="Arial" w:cs="Arial"/>
          <w:b/>
          <w:bCs/>
          <w:sz w:val="16"/>
          <w:szCs w:val="16"/>
        </w:rPr>
      </w:pPr>
    </w:p>
    <w:p w14:paraId="5D6B86B6" w14:textId="25D9F35D" w:rsidR="002A4423" w:rsidRDefault="00FE17BF" w:rsidP="002A4423">
      <w:pPr>
        <w:rPr>
          <w:rFonts w:ascii="Arial" w:hAnsi="Arial" w:cs="Arial"/>
          <w:b/>
          <w:bCs/>
          <w:sz w:val="16"/>
          <w:szCs w:val="16"/>
        </w:rPr>
      </w:pPr>
      <w:r w:rsidRPr="00FE17BF">
        <w:rPr>
          <w:rFonts w:ascii="Arial" w:hAnsi="Arial" w:cs="Arial"/>
          <w:sz w:val="16"/>
          <w:szCs w:val="16"/>
        </w:rPr>
        <w:t>Ethan Koh, Head of Global Research Operations,</w:t>
      </w:r>
      <w:r w:rsidRPr="00FE17BF">
        <w:rPr>
          <w:rFonts w:ascii="Arial" w:hAnsi="Arial" w:cs="Arial"/>
          <w:b/>
          <w:bCs/>
          <w:sz w:val="16"/>
          <w:szCs w:val="16"/>
        </w:rPr>
        <w:t xml:space="preserve"> PEI Group</w:t>
      </w:r>
    </w:p>
    <w:p w14:paraId="569C5114" w14:textId="77777777" w:rsidR="00FE17BF" w:rsidRPr="00FE17BF" w:rsidRDefault="00FE17BF" w:rsidP="002A4423">
      <w:pPr>
        <w:rPr>
          <w:rFonts w:ascii="Arial" w:hAnsi="Arial" w:cs="Arial"/>
          <w:b/>
          <w:bCs/>
          <w:sz w:val="16"/>
          <w:szCs w:val="16"/>
        </w:rPr>
      </w:pPr>
    </w:p>
    <w:p w14:paraId="5B8340DD" w14:textId="22FB7B30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12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FE17BF">
        <w:rPr>
          <w:rFonts w:ascii="Arial" w:hAnsi="Arial" w:cs="Arial"/>
          <w:color w:val="00704A"/>
          <w:sz w:val="24"/>
          <w:szCs w:val="24"/>
        </w:rPr>
        <w:t>1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13:10</w:t>
      </w:r>
    </w:p>
    <w:p w14:paraId="4FEF4E49" w14:textId="17D17D33" w:rsidR="002A4423" w:rsidRPr="002A4423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2A4423">
        <w:rPr>
          <w:rFonts w:ascii="Arial" w:hAnsi="Arial" w:cs="Arial"/>
          <w:b/>
          <w:bCs/>
          <w:color w:val="00704A"/>
          <w:sz w:val="24"/>
          <w:szCs w:val="24"/>
        </w:rPr>
        <w:lastRenderedPageBreak/>
        <w:t>Lunch and networking</w:t>
      </w:r>
    </w:p>
    <w:p w14:paraId="77A98EE4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3DABD5B8" w14:textId="77777777" w:rsidR="00FE17BF" w:rsidRPr="004E478F" w:rsidRDefault="00FE17BF" w:rsidP="00FE17BF">
      <w:pPr>
        <w:rPr>
          <w:rFonts w:ascii="Arial" w:hAnsi="Arial" w:cs="Arial"/>
          <w:color w:val="00704A"/>
          <w:sz w:val="24"/>
          <w:szCs w:val="24"/>
        </w:rPr>
      </w:pPr>
      <w:r w:rsidRPr="004E478F">
        <w:rPr>
          <w:rFonts w:ascii="Arial" w:hAnsi="Arial" w:cs="Arial"/>
          <w:color w:val="00704A"/>
          <w:sz w:val="24"/>
          <w:szCs w:val="24"/>
        </w:rPr>
        <w:t>13:10 – 14:00</w:t>
      </w:r>
    </w:p>
    <w:p w14:paraId="0432D867" w14:textId="77777777" w:rsidR="00FE17BF" w:rsidRPr="004E478F" w:rsidRDefault="00FE17BF" w:rsidP="00FE17B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E478F">
        <w:rPr>
          <w:rFonts w:ascii="Arial" w:hAnsi="Arial" w:cs="Arial"/>
          <w:b/>
          <w:bCs/>
          <w:sz w:val="24"/>
          <w:szCs w:val="24"/>
        </w:rPr>
        <w:t xml:space="preserve">Panel: 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ise of </w:t>
      </w:r>
      <w:r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igital </w:t>
      </w: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4E478F">
        <w:rPr>
          <w:rFonts w:ascii="Arial" w:hAnsi="Arial" w:cs="Arial"/>
          <w:b/>
          <w:bCs/>
          <w:sz w:val="24"/>
          <w:szCs w:val="24"/>
          <w:lang w:val="en-US"/>
        </w:rPr>
        <w:t xml:space="preserve">nfrastructure and AI </w:t>
      </w:r>
    </w:p>
    <w:p w14:paraId="2DA491C1" w14:textId="77777777" w:rsidR="00FE17BF" w:rsidRPr="004E478F" w:rsidRDefault="00FE17BF" w:rsidP="00FE17BF">
      <w:pPr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4E478F">
        <w:rPr>
          <w:rFonts w:ascii="Arial" w:hAnsi="Arial" w:cs="Arial"/>
          <w:lang w:val="en-US"/>
        </w:rPr>
        <w:t>How can digital infrastructure investments be optimized to support the real-time data needs of AI, including advancements in data centers, high-speed networks, and edge computing?</w:t>
      </w:r>
    </w:p>
    <w:p w14:paraId="1D7864A5" w14:textId="77777777" w:rsidR="00FE17BF" w:rsidRPr="004E478F" w:rsidRDefault="00FE17BF" w:rsidP="00FE17BF">
      <w:pPr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4E478F">
        <w:rPr>
          <w:rFonts w:ascii="Arial" w:hAnsi="Arial" w:cs="Arial"/>
          <w:lang w:val="en-US"/>
        </w:rPr>
        <w:t>What are the key investment opportunities for institutional investors in AI-driven infrastructure, such as smart cities, 5G networks, and energy management systems?</w:t>
      </w:r>
    </w:p>
    <w:p w14:paraId="2EB9C504" w14:textId="77777777" w:rsidR="00FE17BF" w:rsidRPr="004E478F" w:rsidRDefault="00FE17BF" w:rsidP="00FE17BF">
      <w:pPr>
        <w:numPr>
          <w:ilvl w:val="0"/>
          <w:numId w:val="2"/>
        </w:numPr>
        <w:ind w:left="360"/>
        <w:rPr>
          <w:rFonts w:ascii="Arial" w:hAnsi="Arial" w:cs="Arial"/>
          <w:lang w:val="en-US"/>
        </w:rPr>
      </w:pPr>
      <w:r w:rsidRPr="004E478F">
        <w:rPr>
          <w:rFonts w:ascii="Arial" w:hAnsi="Arial" w:cs="Arial"/>
          <w:lang w:val="en-US"/>
        </w:rPr>
        <w:t>What strategies can investors use to balance regulatory, technological, and cybersecurity risks while maximizing returns in this rapidly evolving sector?</w:t>
      </w:r>
    </w:p>
    <w:p w14:paraId="52A27693" w14:textId="77777777" w:rsidR="00FE17BF" w:rsidRPr="00FE17BF" w:rsidRDefault="00FE17BF" w:rsidP="002A4423">
      <w:pPr>
        <w:rPr>
          <w:rFonts w:ascii="Arial" w:hAnsi="Arial" w:cs="Arial"/>
          <w:color w:val="00704A"/>
          <w:sz w:val="24"/>
          <w:szCs w:val="24"/>
          <w:lang w:val="en-US"/>
        </w:rPr>
      </w:pPr>
    </w:p>
    <w:p w14:paraId="6B376E10" w14:textId="77777777" w:rsidR="00FE17BF" w:rsidRDefault="00FE17BF" w:rsidP="00FE17BF">
      <w:pPr>
        <w:rPr>
          <w:rFonts w:ascii="Arial" w:hAnsi="Arial" w:cs="Arial"/>
          <w:color w:val="00704A"/>
          <w:sz w:val="24"/>
          <w:szCs w:val="24"/>
        </w:rPr>
      </w:pPr>
      <w:r w:rsidRPr="00FE17BF">
        <w:rPr>
          <w:rFonts w:ascii="Arial" w:hAnsi="Arial" w:cs="Arial"/>
          <w:color w:val="00704A"/>
          <w:sz w:val="24"/>
          <w:szCs w:val="24"/>
        </w:rPr>
        <w:t>14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FE17BF">
        <w:rPr>
          <w:rFonts w:ascii="Arial" w:hAnsi="Arial" w:cs="Arial"/>
          <w:color w:val="00704A"/>
          <w:sz w:val="24"/>
          <w:szCs w:val="24"/>
        </w:rPr>
        <w:t>00</w:t>
      </w:r>
      <w:r>
        <w:rPr>
          <w:rFonts w:ascii="Arial" w:hAnsi="Arial" w:cs="Arial"/>
          <w:color w:val="00704A"/>
          <w:sz w:val="24"/>
          <w:szCs w:val="24"/>
        </w:rPr>
        <w:t xml:space="preserve"> – 14:20</w:t>
      </w:r>
    </w:p>
    <w:p w14:paraId="252B115D" w14:textId="03BE43D2" w:rsidR="00FE17BF" w:rsidRPr="00FE17BF" w:rsidRDefault="00FE17BF" w:rsidP="00FE17BF">
      <w:pPr>
        <w:rPr>
          <w:rFonts w:ascii="Arial" w:hAnsi="Arial" w:cs="Arial"/>
          <w:b/>
          <w:bCs/>
          <w:sz w:val="24"/>
          <w:szCs w:val="24"/>
        </w:rPr>
      </w:pPr>
      <w:r w:rsidRPr="00FE17BF">
        <w:rPr>
          <w:rFonts w:ascii="Arial" w:hAnsi="Arial" w:cs="Arial"/>
          <w:b/>
          <w:bCs/>
          <w:sz w:val="24"/>
          <w:szCs w:val="24"/>
        </w:rPr>
        <w:t xml:space="preserve">LP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potlight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FE17BF">
        <w:rPr>
          <w:rFonts w:ascii="Arial" w:hAnsi="Arial" w:cs="Arial"/>
          <w:b/>
          <w:bCs/>
          <w:sz w:val="24"/>
          <w:szCs w:val="24"/>
        </w:rPr>
        <w:t>nterview</w:t>
      </w:r>
    </w:p>
    <w:p w14:paraId="10079BF7" w14:textId="0045EA31" w:rsidR="002A4423" w:rsidRPr="00FE17BF" w:rsidRDefault="00FE17BF" w:rsidP="00FE17BF">
      <w:pPr>
        <w:rPr>
          <w:rFonts w:ascii="Arial" w:hAnsi="Arial" w:cs="Arial"/>
          <w:color w:val="00704A"/>
        </w:rPr>
      </w:pPr>
      <w:r w:rsidRPr="00FE17BF">
        <w:rPr>
          <w:rFonts w:ascii="Arial" w:hAnsi="Arial" w:cs="Arial"/>
        </w:rPr>
        <w:t xml:space="preserve">Interviewee: John Chang, Director, </w:t>
      </w:r>
      <w:r w:rsidRPr="00FE17BF">
        <w:rPr>
          <w:rFonts w:ascii="Arial" w:hAnsi="Arial" w:cs="Arial"/>
          <w:b/>
          <w:bCs/>
        </w:rPr>
        <w:t>CPPIB</w:t>
      </w:r>
    </w:p>
    <w:p w14:paraId="229C196F" w14:textId="77777777" w:rsidR="00FE17BF" w:rsidRDefault="00FE17BF" w:rsidP="002A4423">
      <w:pPr>
        <w:rPr>
          <w:rFonts w:ascii="Arial" w:hAnsi="Arial" w:cs="Arial"/>
          <w:color w:val="00704A"/>
          <w:sz w:val="24"/>
          <w:szCs w:val="24"/>
        </w:rPr>
      </w:pPr>
    </w:p>
    <w:p w14:paraId="7AD16233" w14:textId="77777777" w:rsidR="00FE17BF" w:rsidRDefault="00FE17BF" w:rsidP="00FE17BF">
      <w:pPr>
        <w:rPr>
          <w:rFonts w:ascii="Arial" w:hAnsi="Arial" w:cs="Arial"/>
          <w:color w:val="00704A"/>
          <w:sz w:val="24"/>
          <w:szCs w:val="24"/>
        </w:rPr>
      </w:pPr>
      <w:r w:rsidRPr="00FE17BF">
        <w:rPr>
          <w:rFonts w:ascii="Arial" w:hAnsi="Arial" w:cs="Arial"/>
          <w:color w:val="00704A"/>
          <w:sz w:val="24"/>
          <w:szCs w:val="24"/>
        </w:rPr>
        <w:t xml:space="preserve">1420 </w:t>
      </w:r>
      <w:r>
        <w:rPr>
          <w:rFonts w:ascii="Arial" w:hAnsi="Arial" w:cs="Arial"/>
          <w:color w:val="00704A"/>
          <w:sz w:val="24"/>
          <w:szCs w:val="24"/>
        </w:rPr>
        <w:t>– 15:10</w:t>
      </w:r>
    </w:p>
    <w:p w14:paraId="6EAC47B4" w14:textId="438B3108" w:rsidR="00FE17BF" w:rsidRPr="00FE17BF" w:rsidRDefault="00FE17BF" w:rsidP="00FE17BF">
      <w:pPr>
        <w:rPr>
          <w:rFonts w:ascii="Arial" w:hAnsi="Arial" w:cs="Arial"/>
          <w:b/>
          <w:bCs/>
          <w:sz w:val="24"/>
          <w:szCs w:val="24"/>
        </w:rPr>
      </w:pPr>
      <w:r w:rsidRPr="00FE17BF">
        <w:rPr>
          <w:rFonts w:ascii="Arial" w:hAnsi="Arial" w:cs="Arial"/>
          <w:b/>
          <w:bCs/>
          <w:sz w:val="24"/>
          <w:szCs w:val="24"/>
        </w:rPr>
        <w:t xml:space="preserve">Panel: Harnessing </w:t>
      </w:r>
      <w:r w:rsidR="005E0016">
        <w:rPr>
          <w:rFonts w:ascii="Arial" w:hAnsi="Arial" w:cs="Arial"/>
          <w:b/>
          <w:bCs/>
          <w:sz w:val="24"/>
          <w:szCs w:val="24"/>
        </w:rPr>
        <w:t>i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nvestment </w:t>
      </w:r>
      <w:r w:rsidR="005E0016">
        <w:rPr>
          <w:rFonts w:ascii="Arial" w:hAnsi="Arial" w:cs="Arial"/>
          <w:b/>
          <w:bCs/>
          <w:sz w:val="24"/>
          <w:szCs w:val="24"/>
        </w:rPr>
        <w:t>o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pportunities in the </w:t>
      </w:r>
      <w:r w:rsidR="005E0016">
        <w:rPr>
          <w:rFonts w:ascii="Arial" w:hAnsi="Arial" w:cs="Arial"/>
          <w:b/>
          <w:bCs/>
          <w:sz w:val="24"/>
          <w:szCs w:val="24"/>
        </w:rPr>
        <w:t>m</w:t>
      </w:r>
      <w:r w:rsidRPr="00FE17BF">
        <w:rPr>
          <w:rFonts w:ascii="Arial" w:hAnsi="Arial" w:cs="Arial"/>
          <w:b/>
          <w:bCs/>
          <w:sz w:val="24"/>
          <w:szCs w:val="24"/>
        </w:rPr>
        <w:t>id-</w:t>
      </w:r>
      <w:r w:rsidR="005E0016">
        <w:rPr>
          <w:rFonts w:ascii="Arial" w:hAnsi="Arial" w:cs="Arial"/>
          <w:b/>
          <w:bCs/>
          <w:sz w:val="24"/>
          <w:szCs w:val="24"/>
        </w:rPr>
        <w:t>m</w:t>
      </w:r>
      <w:r w:rsidRPr="00FE17BF">
        <w:rPr>
          <w:rFonts w:ascii="Arial" w:hAnsi="Arial" w:cs="Arial"/>
          <w:b/>
          <w:bCs/>
          <w:sz w:val="24"/>
          <w:szCs w:val="24"/>
        </w:rPr>
        <w:t xml:space="preserve">arket </w:t>
      </w:r>
      <w:r w:rsidR="005E0016">
        <w:rPr>
          <w:rFonts w:ascii="Arial" w:hAnsi="Arial" w:cs="Arial"/>
          <w:b/>
          <w:bCs/>
          <w:sz w:val="24"/>
          <w:szCs w:val="24"/>
        </w:rPr>
        <w:t>s</w:t>
      </w:r>
      <w:r w:rsidRPr="00FE17BF">
        <w:rPr>
          <w:rFonts w:ascii="Arial" w:hAnsi="Arial" w:cs="Arial"/>
          <w:b/>
          <w:bCs/>
          <w:sz w:val="24"/>
          <w:szCs w:val="24"/>
        </w:rPr>
        <w:t>ector</w:t>
      </w:r>
    </w:p>
    <w:p w14:paraId="7162DC89" w14:textId="283804AF" w:rsidR="00FE17BF" w:rsidRPr="005E0016" w:rsidRDefault="00FE17BF" w:rsidP="005E00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E17BF">
        <w:rPr>
          <w:rFonts w:ascii="Arial" w:hAnsi="Arial" w:cs="Arial"/>
        </w:rPr>
        <w:t>Why does the mid-market provide more favorable exit dynamics and faster capital velocity compared</w:t>
      </w:r>
      <w:r w:rsidR="005E0016"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to large-cap investments?</w:t>
      </w:r>
    </w:p>
    <w:p w14:paraId="16529658" w14:textId="706BC8A3" w:rsidR="00FE17BF" w:rsidRPr="005E0016" w:rsidRDefault="00FE17BF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E17BF">
        <w:rPr>
          <w:rFonts w:ascii="Arial" w:hAnsi="Arial" w:cs="Arial"/>
        </w:rPr>
        <w:t>Mid-market specialists vs. multi-strategy platforms – which investment strategies are the most</w:t>
      </w:r>
      <w:r w:rsidR="005E0016"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compelling?</w:t>
      </w:r>
    </w:p>
    <w:p w14:paraId="795E693C" w14:textId="5372CECD" w:rsidR="00FE17BF" w:rsidRPr="00FE17BF" w:rsidRDefault="00FE17BF" w:rsidP="00FE17B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E17BF">
        <w:rPr>
          <w:rFonts w:ascii="Arial" w:hAnsi="Arial" w:cs="Arial"/>
        </w:rPr>
        <w:t>Is there a risk that generalists in the mid-market could get squeezed out?</w:t>
      </w:r>
    </w:p>
    <w:p w14:paraId="2EB15834" w14:textId="77777777" w:rsidR="005E0016" w:rsidRDefault="005E0016" w:rsidP="00FE17BF">
      <w:pPr>
        <w:rPr>
          <w:rFonts w:ascii="Arial" w:hAnsi="Arial" w:cs="Arial"/>
          <w:color w:val="00704A"/>
          <w:sz w:val="16"/>
          <w:szCs w:val="16"/>
        </w:rPr>
      </w:pPr>
    </w:p>
    <w:p w14:paraId="35F816A3" w14:textId="17F50AF0" w:rsidR="00FE17BF" w:rsidRPr="005E0016" w:rsidRDefault="00FE17BF" w:rsidP="00FE17BF">
      <w:pPr>
        <w:rPr>
          <w:rFonts w:ascii="Arial" w:hAnsi="Arial" w:cs="Arial"/>
          <w:sz w:val="16"/>
          <w:szCs w:val="16"/>
        </w:rPr>
      </w:pPr>
      <w:r w:rsidRPr="005E0016">
        <w:rPr>
          <w:rFonts w:ascii="Arial" w:hAnsi="Arial" w:cs="Arial"/>
          <w:sz w:val="16"/>
          <w:szCs w:val="16"/>
        </w:rPr>
        <w:t xml:space="preserve">Serkan Bahceci, Partner &amp; Head of Research, </w:t>
      </w:r>
      <w:r w:rsidRPr="005E0016">
        <w:rPr>
          <w:rFonts w:ascii="Arial" w:hAnsi="Arial" w:cs="Arial"/>
          <w:b/>
          <w:bCs/>
          <w:sz w:val="16"/>
          <w:szCs w:val="16"/>
        </w:rPr>
        <w:t>Arjun Infrastructure Partners</w:t>
      </w:r>
    </w:p>
    <w:p w14:paraId="09893E2A" w14:textId="77777777" w:rsidR="00FE17BF" w:rsidRPr="005E0016" w:rsidRDefault="00FE17BF" w:rsidP="00FE17BF">
      <w:pPr>
        <w:rPr>
          <w:rFonts w:ascii="Arial" w:hAnsi="Arial" w:cs="Arial"/>
          <w:sz w:val="16"/>
          <w:szCs w:val="16"/>
        </w:rPr>
      </w:pPr>
      <w:r w:rsidRPr="005E0016">
        <w:rPr>
          <w:rFonts w:ascii="Arial" w:hAnsi="Arial" w:cs="Arial"/>
          <w:sz w:val="16"/>
          <w:szCs w:val="16"/>
        </w:rPr>
        <w:t xml:space="preserve">Achal Bhuwania, CIO, </w:t>
      </w:r>
      <w:r w:rsidRPr="005E0016">
        <w:rPr>
          <w:rFonts w:ascii="Arial" w:hAnsi="Arial" w:cs="Arial"/>
          <w:b/>
          <w:bCs/>
          <w:sz w:val="16"/>
          <w:szCs w:val="16"/>
        </w:rPr>
        <w:t>Equitix</w:t>
      </w:r>
    </w:p>
    <w:p w14:paraId="5B79E5DF" w14:textId="712287A7" w:rsidR="00FE17BF" w:rsidRDefault="00FE17BF" w:rsidP="00FE17BF">
      <w:pPr>
        <w:rPr>
          <w:rFonts w:ascii="Arial" w:hAnsi="Arial" w:cs="Arial"/>
          <w:b/>
          <w:bCs/>
          <w:sz w:val="16"/>
          <w:szCs w:val="16"/>
        </w:rPr>
      </w:pPr>
      <w:r w:rsidRPr="005E0016">
        <w:rPr>
          <w:rFonts w:ascii="Arial" w:hAnsi="Arial" w:cs="Arial"/>
          <w:sz w:val="16"/>
          <w:szCs w:val="16"/>
        </w:rPr>
        <w:t xml:space="preserve">George Theodoropoulos, Managing Partner, </w:t>
      </w:r>
      <w:r w:rsidRPr="005E0016">
        <w:rPr>
          <w:rFonts w:ascii="Arial" w:hAnsi="Arial" w:cs="Arial"/>
          <w:b/>
          <w:bCs/>
          <w:sz w:val="16"/>
          <w:szCs w:val="16"/>
        </w:rPr>
        <w:t>Fengate Asset Management</w:t>
      </w:r>
    </w:p>
    <w:p w14:paraId="1D130A47" w14:textId="77777777" w:rsidR="005E0016" w:rsidRDefault="005E0016" w:rsidP="00FE17BF">
      <w:pPr>
        <w:rPr>
          <w:rFonts w:ascii="Arial" w:hAnsi="Arial" w:cs="Arial"/>
          <w:b/>
          <w:bCs/>
          <w:sz w:val="16"/>
          <w:szCs w:val="16"/>
        </w:rPr>
      </w:pPr>
    </w:p>
    <w:p w14:paraId="06E7C7A7" w14:textId="0C441835" w:rsidR="005E0016" w:rsidRDefault="005E0016" w:rsidP="005E0016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</w:t>
      </w:r>
      <w:r>
        <w:rPr>
          <w:rFonts w:ascii="Arial" w:hAnsi="Arial" w:cs="Arial"/>
          <w:color w:val="00704A"/>
          <w:sz w:val="24"/>
          <w:szCs w:val="24"/>
        </w:rPr>
        <w:t>5:1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15:40</w:t>
      </w:r>
    </w:p>
    <w:p w14:paraId="42C7D29E" w14:textId="353D6A9E" w:rsidR="005E0016" w:rsidRPr="005E0016" w:rsidRDefault="005E0016" w:rsidP="00FE17BF">
      <w:pPr>
        <w:rPr>
          <w:rFonts w:ascii="Arial" w:hAnsi="Arial" w:cs="Arial"/>
          <w:b/>
          <w:bCs/>
          <w:color w:val="007749"/>
          <w:sz w:val="24"/>
          <w:szCs w:val="24"/>
        </w:rPr>
      </w:pPr>
      <w:r w:rsidRPr="004E478F">
        <w:rPr>
          <w:rFonts w:ascii="Arial" w:hAnsi="Arial" w:cs="Arial"/>
          <w:b/>
          <w:bCs/>
          <w:color w:val="007749"/>
          <w:sz w:val="24"/>
          <w:szCs w:val="24"/>
        </w:rPr>
        <w:t>Networking break</w:t>
      </w:r>
    </w:p>
    <w:p w14:paraId="4F91563A" w14:textId="77777777" w:rsidR="005E0016" w:rsidRPr="005E0016" w:rsidRDefault="005E0016" w:rsidP="00FE17BF">
      <w:pPr>
        <w:rPr>
          <w:rFonts w:ascii="Arial" w:hAnsi="Arial" w:cs="Arial"/>
          <w:sz w:val="24"/>
          <w:szCs w:val="24"/>
        </w:rPr>
      </w:pPr>
    </w:p>
    <w:p w14:paraId="0798EEE3" w14:textId="77777777" w:rsidR="005E0016" w:rsidRDefault="005E0016" w:rsidP="005E0016">
      <w:pPr>
        <w:rPr>
          <w:rFonts w:ascii="Arial" w:hAnsi="Arial" w:cs="Arial"/>
          <w:sz w:val="24"/>
          <w:szCs w:val="24"/>
        </w:rPr>
      </w:pPr>
      <w:r w:rsidRPr="005E001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:</w:t>
      </w:r>
      <w:r w:rsidRPr="005E0016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– 16:20</w:t>
      </w:r>
    </w:p>
    <w:p w14:paraId="31FBFFAC" w14:textId="11114253" w:rsidR="005E0016" w:rsidRPr="005E0016" w:rsidRDefault="005E0016" w:rsidP="005E0016">
      <w:pPr>
        <w:rPr>
          <w:rFonts w:ascii="Arial" w:hAnsi="Arial" w:cs="Arial"/>
          <w:b/>
          <w:bCs/>
          <w:sz w:val="24"/>
          <w:szCs w:val="24"/>
        </w:rPr>
      </w:pPr>
      <w:r w:rsidRPr="005E0016">
        <w:rPr>
          <w:rFonts w:ascii="Arial" w:hAnsi="Arial" w:cs="Arial"/>
          <w:b/>
          <w:bCs/>
          <w:sz w:val="24"/>
          <w:szCs w:val="24"/>
        </w:rPr>
        <w:t>Panel: Unlocking value: The evolving landscape of infrastructure secondaries investment</w:t>
      </w:r>
    </w:p>
    <w:p w14:paraId="2B8C462C" w14:textId="62ACBCA8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How does investing in secondaries compare to primary infrastructure investments in terms of returns?</w:t>
      </w:r>
    </w:p>
    <w:p w14:paraId="3F6CD3E9" w14:textId="78B26F87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How are the nature of deals in the secondary infrastructure market evolving?</w:t>
      </w:r>
    </w:p>
    <w:p w14:paraId="16BA060F" w14:textId="0BF0C5D8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How are investors navigating liquidity, portfolio diversification, and the increasing demand for secondary market transactions in private infrastructure deals?</w:t>
      </w:r>
    </w:p>
    <w:p w14:paraId="38427392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2B2F6DD" w14:textId="02436FC1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16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5E0016">
        <w:rPr>
          <w:rFonts w:ascii="Arial" w:hAnsi="Arial" w:cs="Arial"/>
          <w:color w:val="00704A"/>
          <w:sz w:val="24"/>
          <w:szCs w:val="24"/>
        </w:rPr>
        <w:t>2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17:</w:t>
      </w:r>
      <w:r w:rsidR="005E0016">
        <w:rPr>
          <w:rFonts w:ascii="Arial" w:hAnsi="Arial" w:cs="Arial"/>
          <w:color w:val="00704A"/>
          <w:sz w:val="24"/>
          <w:szCs w:val="24"/>
        </w:rPr>
        <w:t>05</w:t>
      </w:r>
    </w:p>
    <w:p w14:paraId="64588CE5" w14:textId="70230146" w:rsidR="005E0016" w:rsidRPr="005E0016" w:rsidRDefault="005E0016" w:rsidP="005E0016">
      <w:pPr>
        <w:rPr>
          <w:rFonts w:ascii="Arial" w:hAnsi="Arial" w:cs="Arial"/>
          <w:b/>
          <w:bCs/>
          <w:sz w:val="24"/>
          <w:szCs w:val="24"/>
        </w:rPr>
      </w:pPr>
      <w:r w:rsidRPr="005E0016">
        <w:rPr>
          <w:rFonts w:ascii="Arial" w:hAnsi="Arial" w:cs="Arial"/>
          <w:b/>
          <w:bCs/>
          <w:sz w:val="24"/>
          <w:szCs w:val="24"/>
        </w:rPr>
        <w:t>Panel: Navigating new horizons: Korean LPs expanding role in global infrastructure investment</w:t>
      </w:r>
    </w:p>
    <w:p w14:paraId="19494603" w14:textId="425B774F" w:rsidR="005E0016" w:rsidRPr="005E0016" w:rsidRDefault="005E0016" w:rsidP="005E001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What are the current key criteria for Korean LPs when selecting GPs and have they changed in the past</w:t>
      </w:r>
      <w:r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12 months?</w:t>
      </w:r>
    </w:p>
    <w:p w14:paraId="0FFCCDC4" w14:textId="770E2D1E" w:rsidR="005E0016" w:rsidRPr="005E0016" w:rsidRDefault="005E0016" w:rsidP="005E001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Which sectors are Korean investors bullish on? Are they increasing their digital infrastructure</w:t>
      </w:r>
      <w:r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allocation?</w:t>
      </w:r>
    </w:p>
    <w:p w14:paraId="5B05AE7C" w14:textId="7F9DC715" w:rsidR="005E0016" w:rsidRPr="005E0016" w:rsidRDefault="005E0016" w:rsidP="005E001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E0016">
        <w:rPr>
          <w:rFonts w:ascii="Arial" w:hAnsi="Arial" w:cs="Arial"/>
        </w:rPr>
        <w:t>Do blind pool funds remain the default or are we seeing more appetite for co-investments and direct</w:t>
      </w:r>
      <w:r>
        <w:rPr>
          <w:rFonts w:ascii="Arial" w:hAnsi="Arial" w:cs="Arial"/>
        </w:rPr>
        <w:t xml:space="preserve"> </w:t>
      </w:r>
      <w:r w:rsidRPr="005E0016">
        <w:rPr>
          <w:rFonts w:ascii="Arial" w:hAnsi="Arial" w:cs="Arial"/>
        </w:rPr>
        <w:t>investing?</w:t>
      </w:r>
    </w:p>
    <w:p w14:paraId="0403C376" w14:textId="426783D8" w:rsidR="005E0016" w:rsidRPr="005E0016" w:rsidRDefault="005E0016" w:rsidP="005E0016">
      <w:pPr>
        <w:rPr>
          <w:rFonts w:ascii="Arial" w:hAnsi="Arial" w:cs="Arial"/>
          <w:sz w:val="16"/>
          <w:szCs w:val="16"/>
        </w:rPr>
      </w:pPr>
    </w:p>
    <w:p w14:paraId="057C06C3" w14:textId="48139D26" w:rsidR="002A4423" w:rsidRPr="005E0016" w:rsidRDefault="005E0016" w:rsidP="005E0016">
      <w:pPr>
        <w:rPr>
          <w:rFonts w:ascii="Arial" w:hAnsi="Arial" w:cs="Arial"/>
          <w:b/>
          <w:bCs/>
          <w:sz w:val="16"/>
          <w:szCs w:val="16"/>
        </w:rPr>
      </w:pPr>
      <w:r w:rsidRPr="005E0016">
        <w:rPr>
          <w:rFonts w:ascii="Arial" w:hAnsi="Arial" w:cs="Arial"/>
          <w:sz w:val="16"/>
          <w:szCs w:val="16"/>
        </w:rPr>
        <w:t xml:space="preserve">Hyungon Kim, Head of Infrastructure Team 1, </w:t>
      </w:r>
      <w:r w:rsidRPr="005E0016">
        <w:rPr>
          <w:rFonts w:ascii="Arial" w:hAnsi="Arial" w:cs="Arial"/>
          <w:b/>
          <w:bCs/>
          <w:sz w:val="16"/>
          <w:szCs w:val="16"/>
        </w:rPr>
        <w:t>The Korean Teachers’ Credit Union</w:t>
      </w:r>
    </w:p>
    <w:p w14:paraId="3042B5B8" w14:textId="5BF2FD37" w:rsidR="005E0016" w:rsidRDefault="005E0016" w:rsidP="005E0016">
      <w:pPr>
        <w:rPr>
          <w:rFonts w:ascii="Arial" w:hAnsi="Arial" w:cs="Arial"/>
          <w:sz w:val="16"/>
          <w:szCs w:val="16"/>
        </w:rPr>
      </w:pPr>
      <w:r w:rsidRPr="005E0016">
        <w:rPr>
          <w:rFonts w:ascii="Arial" w:hAnsi="Arial" w:cs="Arial"/>
          <w:b/>
          <w:bCs/>
          <w:sz w:val="16"/>
          <w:szCs w:val="16"/>
        </w:rPr>
        <w:t>Moderated by:</w:t>
      </w:r>
      <w:r w:rsidRPr="005E0016">
        <w:rPr>
          <w:rFonts w:ascii="Arial" w:hAnsi="Arial" w:cs="Arial"/>
          <w:sz w:val="16"/>
          <w:szCs w:val="16"/>
        </w:rPr>
        <w:t xml:space="preserve"> Monica Bae, Director, </w:t>
      </w:r>
      <w:r w:rsidRPr="005E0016">
        <w:rPr>
          <w:rFonts w:ascii="Arial" w:hAnsi="Arial" w:cs="Arial"/>
          <w:b/>
          <w:bCs/>
          <w:sz w:val="16"/>
          <w:szCs w:val="16"/>
        </w:rPr>
        <w:t>AIGCC</w:t>
      </w:r>
    </w:p>
    <w:p w14:paraId="61AFE290" w14:textId="77777777" w:rsidR="005E0016" w:rsidRPr="005E0016" w:rsidRDefault="005E0016" w:rsidP="005E0016">
      <w:pPr>
        <w:rPr>
          <w:rFonts w:ascii="Arial" w:hAnsi="Arial" w:cs="Arial"/>
          <w:sz w:val="16"/>
          <w:szCs w:val="16"/>
        </w:rPr>
      </w:pPr>
    </w:p>
    <w:p w14:paraId="4F0F7AA2" w14:textId="420A1523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17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="005E0016">
        <w:rPr>
          <w:rFonts w:ascii="Arial" w:hAnsi="Arial" w:cs="Arial"/>
          <w:color w:val="00704A"/>
          <w:sz w:val="24"/>
          <w:szCs w:val="24"/>
        </w:rPr>
        <w:t>05</w:t>
      </w:r>
    </w:p>
    <w:p w14:paraId="69FABB56" w14:textId="3516F1C3" w:rsidR="004C1139" w:rsidRPr="005E0016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4E478F">
        <w:rPr>
          <w:rFonts w:ascii="Arial" w:hAnsi="Arial" w:cs="Arial"/>
          <w:b/>
          <w:bCs/>
          <w:color w:val="00704A"/>
          <w:sz w:val="24"/>
          <w:szCs w:val="24"/>
        </w:rPr>
        <w:t>Cocktail Reception</w:t>
      </w:r>
    </w:p>
    <w:sectPr w:rsidR="004C1139" w:rsidRPr="005E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D7A"/>
    <w:multiLevelType w:val="hybridMultilevel"/>
    <w:tmpl w:val="675A4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72313"/>
    <w:multiLevelType w:val="hybridMultilevel"/>
    <w:tmpl w:val="97B4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D28"/>
    <w:multiLevelType w:val="multilevel"/>
    <w:tmpl w:val="BCC8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4791F"/>
    <w:multiLevelType w:val="multilevel"/>
    <w:tmpl w:val="FF60CBD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05DF6"/>
    <w:multiLevelType w:val="hybridMultilevel"/>
    <w:tmpl w:val="BE08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6A6E"/>
    <w:multiLevelType w:val="hybridMultilevel"/>
    <w:tmpl w:val="B030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32D0"/>
    <w:multiLevelType w:val="multilevel"/>
    <w:tmpl w:val="369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01E66"/>
    <w:multiLevelType w:val="hybridMultilevel"/>
    <w:tmpl w:val="B91E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61D1"/>
    <w:multiLevelType w:val="hybridMultilevel"/>
    <w:tmpl w:val="D348F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2243"/>
    <w:multiLevelType w:val="multilevel"/>
    <w:tmpl w:val="4D2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F2020"/>
    <w:multiLevelType w:val="multilevel"/>
    <w:tmpl w:val="52B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2007C"/>
    <w:multiLevelType w:val="hybridMultilevel"/>
    <w:tmpl w:val="7BAE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6102C"/>
    <w:multiLevelType w:val="multilevel"/>
    <w:tmpl w:val="566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50CFA"/>
    <w:multiLevelType w:val="multilevel"/>
    <w:tmpl w:val="2FE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63F19"/>
    <w:multiLevelType w:val="hybridMultilevel"/>
    <w:tmpl w:val="DAA4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55B0C"/>
    <w:multiLevelType w:val="hybridMultilevel"/>
    <w:tmpl w:val="66E2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85B5B"/>
    <w:multiLevelType w:val="hybridMultilevel"/>
    <w:tmpl w:val="1114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46EDD"/>
    <w:multiLevelType w:val="hybridMultilevel"/>
    <w:tmpl w:val="B182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01C0F"/>
    <w:multiLevelType w:val="multilevel"/>
    <w:tmpl w:val="4EFE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958A4"/>
    <w:multiLevelType w:val="multilevel"/>
    <w:tmpl w:val="9EA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72757">
    <w:abstractNumId w:val="2"/>
  </w:num>
  <w:num w:numId="2" w16cid:durableId="1493176409">
    <w:abstractNumId w:val="13"/>
  </w:num>
  <w:num w:numId="3" w16cid:durableId="2078899379">
    <w:abstractNumId w:val="12"/>
  </w:num>
  <w:num w:numId="4" w16cid:durableId="1901095433">
    <w:abstractNumId w:val="10"/>
  </w:num>
  <w:num w:numId="5" w16cid:durableId="1945990668">
    <w:abstractNumId w:val="0"/>
  </w:num>
  <w:num w:numId="6" w16cid:durableId="958950414">
    <w:abstractNumId w:val="4"/>
  </w:num>
  <w:num w:numId="7" w16cid:durableId="170796257">
    <w:abstractNumId w:val="3"/>
  </w:num>
  <w:num w:numId="8" w16cid:durableId="972904692">
    <w:abstractNumId w:val="18"/>
  </w:num>
  <w:num w:numId="9" w16cid:durableId="933629838">
    <w:abstractNumId w:val="19"/>
  </w:num>
  <w:num w:numId="10" w16cid:durableId="19747574">
    <w:abstractNumId w:val="6"/>
  </w:num>
  <w:num w:numId="11" w16cid:durableId="1374580399">
    <w:abstractNumId w:val="9"/>
  </w:num>
  <w:num w:numId="12" w16cid:durableId="220289995">
    <w:abstractNumId w:val="7"/>
  </w:num>
  <w:num w:numId="13" w16cid:durableId="917985411">
    <w:abstractNumId w:val="17"/>
  </w:num>
  <w:num w:numId="14" w16cid:durableId="1401321745">
    <w:abstractNumId w:val="14"/>
  </w:num>
  <w:num w:numId="15" w16cid:durableId="1608271754">
    <w:abstractNumId w:val="8"/>
  </w:num>
  <w:num w:numId="16" w16cid:durableId="1673751597">
    <w:abstractNumId w:val="11"/>
  </w:num>
  <w:num w:numId="17" w16cid:durableId="861474442">
    <w:abstractNumId w:val="15"/>
  </w:num>
  <w:num w:numId="18" w16cid:durableId="865219461">
    <w:abstractNumId w:val="5"/>
  </w:num>
  <w:num w:numId="19" w16cid:durableId="654336847">
    <w:abstractNumId w:val="1"/>
  </w:num>
  <w:num w:numId="20" w16cid:durableId="10415963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39"/>
    <w:rsid w:val="002A4423"/>
    <w:rsid w:val="002C1031"/>
    <w:rsid w:val="002F340D"/>
    <w:rsid w:val="004C1139"/>
    <w:rsid w:val="004E478F"/>
    <w:rsid w:val="00560A65"/>
    <w:rsid w:val="005E0016"/>
    <w:rsid w:val="00C6284F"/>
    <w:rsid w:val="00FE17B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C2B4"/>
  <w15:chartTrackingRefBased/>
  <w15:docId w15:val="{7863BD42-E084-4EBE-873B-95FB835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39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1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1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1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1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139"/>
    <w:rPr>
      <w:i/>
      <w:iCs/>
      <w:color w:val="404040" w:themeColor="text1" w:themeTint="BF"/>
    </w:rPr>
  </w:style>
  <w:style w:type="paragraph" w:styleId="ListParagraph">
    <w:name w:val="List Paragraph"/>
    <w:aliases w:val="PRI Bullets,Numbered list"/>
    <w:basedOn w:val="Normal"/>
    <w:uiPriority w:val="34"/>
    <w:qFormat/>
    <w:rsid w:val="004C1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4423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Davison</dc:creator>
  <cp:keywords/>
  <dc:description/>
  <cp:lastModifiedBy>Sophia Davison</cp:lastModifiedBy>
  <cp:revision>3</cp:revision>
  <dcterms:created xsi:type="dcterms:W3CDTF">2025-02-20T14:34:00Z</dcterms:created>
  <dcterms:modified xsi:type="dcterms:W3CDTF">2025-02-26T12:43:00Z</dcterms:modified>
</cp:coreProperties>
</file>